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40" w:lineRule="exact"/>
        <w:jc w:val="center"/>
        <w:rPr>
          <w:rFonts w:hint="eastAsia"/>
          <w:b/>
          <w:sz w:val="52"/>
          <w:szCs w:val="52"/>
        </w:rPr>
      </w:pPr>
    </w:p>
    <w:p>
      <w:pPr>
        <w:spacing w:line="640" w:lineRule="exact"/>
        <w:jc w:val="center"/>
        <w:rPr>
          <w:rFonts w:hint="eastAsia"/>
          <w:b/>
          <w:sz w:val="10"/>
          <w:szCs w:val="10"/>
        </w:rPr>
      </w:pPr>
      <w:r>
        <w:rPr>
          <w:b/>
          <w:sz w:val="10"/>
          <w:szCs w:val="10"/>
        </w:rPr>
        <w:t xml:space="preserve">                     </w:t>
      </w:r>
    </w:p>
    <w:p>
      <w:pPr>
        <w:spacing w:line="640" w:lineRule="exact"/>
        <w:jc w:val="center"/>
        <w:rPr>
          <w:b/>
          <w:sz w:val="10"/>
          <w:szCs w:val="10"/>
        </w:rPr>
      </w:pPr>
    </w:p>
    <w:p>
      <w:pPr>
        <w:jc w:val="center"/>
        <w:rPr>
          <w:rFonts w:ascii="宋体" w:hAnsi="宋体"/>
          <w:b/>
          <w:sz w:val="36"/>
          <w:szCs w:val="36"/>
        </w:rPr>
      </w:pPr>
      <w:r>
        <w:rPr>
          <w:b/>
          <w:sz w:val="44"/>
          <w:szCs w:val="44"/>
        </w:rPr>
        <w:t xml:space="preserve">                        </w:t>
      </w:r>
      <w:r>
        <w:rPr>
          <w:rFonts w:hint="eastAsia"/>
          <w:b/>
          <w:sz w:val="44"/>
          <w:szCs w:val="44"/>
        </w:rPr>
        <w:t xml:space="preserve">     </w:t>
      </w:r>
    </w:p>
    <w:p>
      <w:pPr>
        <w:tabs>
          <w:tab w:val="left" w:pos="7590"/>
        </w:tabs>
        <w:spacing w:line="940" w:lineRule="exact"/>
        <w:jc w:val="left"/>
        <w:rPr>
          <w:rFonts w:hint="eastAsia"/>
          <w:b/>
          <w:sz w:val="44"/>
          <w:szCs w:val="44"/>
        </w:rPr>
      </w:pPr>
      <w:r>
        <w:rPr>
          <w:b/>
          <w:sz w:val="52"/>
          <w:szCs w:val="52"/>
        </w:rPr>
        <w:tab/>
      </w:r>
    </w:p>
    <w:p>
      <w:pPr>
        <w:jc w:val="center"/>
        <w:rPr>
          <w:rFonts w:ascii="仿宋_GB2312" w:hAnsi="仿宋_GB2312" w:hint="eastAsia"/>
          <w:sz w:val="10"/>
          <w:szCs w:val="10"/>
        </w:rPr>
      </w:pPr>
    </w:p>
    <w:p>
      <w:pPr>
        <w:tabs>
          <w:tab w:val="left" w:pos="1755"/>
        </w:tabs>
        <w:jc w:val="center"/>
        <w:rPr>
          <w:rFonts w:ascii="仿宋_GB2312" w:eastAsia="仿宋_GB2312" w:cs="仿宋_GB2312" w:hAnsi="仿宋_GB2312" w:hint="eastAsia"/>
          <w:b w:val="0"/>
          <w:bCs w:val="0"/>
          <w:color w:val="000000"/>
          <w:sz w:val="32"/>
          <w:szCs w:val="32"/>
        </w:rPr>
      </w:pPr>
      <w:r>
        <w:rPr>
          <w:rFonts w:ascii="仿宋_GB2312" w:eastAsia="仿宋_GB2312" w:cs="仿宋_GB2312" w:hAnsi="仿宋_GB2312" w:hint="eastAsia"/>
          <w:b w:val="0"/>
          <w:bCs w:val="0"/>
          <w:color w:val="000000"/>
          <w:sz w:val="32"/>
          <w:szCs w:val="32"/>
        </w:rPr>
        <w:t>曲自然资规字〔202</w:t>
      </w:r>
      <w:r>
        <w:rPr>
          <w:rFonts w:ascii="仿宋_GB2312" w:eastAsia="仿宋_GB2312" w:cs="仿宋_GB2312" w:hAnsi="仿宋_GB2312" w:hint="eastAsia"/>
          <w:b w:val="0"/>
          <w:bCs w:val="0"/>
          <w:color w:val="000000"/>
          <w:sz w:val="32"/>
          <w:szCs w:val="32"/>
          <w:lang w:val="en-US" w:eastAsia="zh-CN"/>
        </w:rPr>
        <w:t>3</w:t>
      </w:r>
      <w:r>
        <w:rPr>
          <w:rFonts w:ascii="仿宋_GB2312" w:eastAsia="仿宋_GB2312" w:cs="仿宋_GB2312" w:hAnsi="仿宋_GB2312" w:hint="eastAsia"/>
          <w:b w:val="0"/>
          <w:bCs w:val="0"/>
          <w:color w:val="000000"/>
          <w:sz w:val="32"/>
          <w:szCs w:val="32"/>
        </w:rPr>
        <w:t>〕</w:t>
      </w:r>
      <w:r>
        <w:rPr>
          <w:rFonts w:ascii="仿宋_GB2312" w:eastAsia="仿宋_GB2312" w:cs="仿宋_GB2312" w:hAnsi="仿宋_GB2312" w:hint="eastAsia"/>
          <w:b w:val="0"/>
          <w:bCs w:val="0"/>
          <w:color w:val="000000"/>
          <w:sz w:val="32"/>
          <w:szCs w:val="32"/>
          <w:lang w:val="en-US" w:eastAsia="zh-CN"/>
        </w:rPr>
        <w:t>13</w:t>
      </w:r>
      <w:r>
        <w:rPr>
          <w:rFonts w:ascii="仿宋_GB2312" w:eastAsia="仿宋_GB2312" w:cs="仿宋_GB2312" w:hAnsi="仿宋_GB2312" w:hint="eastAsia"/>
          <w:b w:val="0"/>
          <w:bCs w:val="0"/>
          <w:color w:val="000000"/>
          <w:sz w:val="32"/>
          <w:szCs w:val="32"/>
        </w:rPr>
        <w:t>号</w:t>
      </w:r>
    </w:p>
    <w:p>
      <w:pPr>
        <w:keepNext w:val="0"/>
        <w:keepLines w:val="0"/>
        <w:pageBreakBefore w:val="0"/>
        <w:widowControl/>
        <w:tabs>
          <w:tab w:val="left" w:pos="1755"/>
        </w:tabs>
        <w:kinsoku/>
        <w:wordWrap/>
        <w:overflowPunct/>
        <w:topLinePunct w:val="0"/>
        <w:autoSpaceDE/>
        <w:autoSpaceDN/>
        <w:bidi w:val="0"/>
        <w:adjustRightInd/>
        <w:snapToGrid/>
        <w:spacing w:line="560" w:lineRule="exact"/>
        <w:jc w:val="center"/>
        <w:textAlignment w:val="auto"/>
        <w:rPr>
          <w:rFonts w:ascii="宋体" w:hAnsi="宋体" w:hint="eastAsia"/>
          <w:b/>
          <w:color w:val="000000"/>
          <w:sz w:val="32"/>
          <w:szCs w:val="32"/>
        </w:rPr>
      </w:pPr>
    </w:p>
    <w:p>
      <w:pPr>
        <w:pStyle w:val="20"/>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sz w:val="15"/>
          <w:szCs w:val="15"/>
        </w:rPr>
      </w:pPr>
      <w:r>
        <w:rPr>
          <w:rFonts w:ascii="宋体" w:eastAsia="宋体" w:cs="宋体" w:hAnsi="宋体" w:hint="eastAsia"/>
          <w:b/>
          <w:bCs/>
          <w:sz w:val="44"/>
          <w:szCs w:val="44"/>
          <w:lang w:eastAsia="zh-CN"/>
        </w:rPr>
        <w:t>曲阳县</w:t>
      </w:r>
      <w:r>
        <w:rPr>
          <w:rFonts w:ascii="宋体" w:cs="宋体" w:hAnsi="宋体" w:hint="eastAsia"/>
          <w:b/>
          <w:bCs/>
          <w:sz w:val="44"/>
          <w:szCs w:val="44"/>
          <w:lang w:eastAsia="zh-CN"/>
        </w:rPr>
        <w:t>自然资源和规划局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44"/>
          <w:szCs w:val="44"/>
        </w:rPr>
      </w:pPr>
      <w:r>
        <w:rPr>
          <w:rFonts w:ascii="宋体" w:eastAsia="宋体" w:cs="宋体" w:hAnsi="宋体" w:hint="eastAsia"/>
          <w:b/>
          <w:bCs/>
          <w:sz w:val="44"/>
          <w:szCs w:val="44"/>
          <w:lang w:val="en-US" w:eastAsia="zh-CN"/>
        </w:rPr>
        <w:t>关于印发</w:t>
      </w:r>
      <w:r>
        <w:rPr>
          <w:rFonts w:ascii="宋体" w:eastAsia="宋体" w:cs="宋体" w:hAnsi="宋体" w:hint="eastAsia"/>
          <w:b/>
          <w:bCs/>
          <w:sz w:val="44"/>
          <w:szCs w:val="44"/>
        </w:rPr>
        <w:t>《202</w:t>
      </w:r>
      <w:r>
        <w:rPr>
          <w:rFonts w:ascii="宋体" w:eastAsia="宋体" w:cs="宋体" w:hAnsi="宋体" w:hint="eastAsia"/>
          <w:b/>
          <w:bCs/>
          <w:sz w:val="44"/>
          <w:szCs w:val="44"/>
          <w:lang w:val="en-US" w:eastAsia="zh-CN"/>
        </w:rPr>
        <w:t>3</w:t>
      </w:r>
      <w:r>
        <w:rPr>
          <w:rFonts w:ascii="宋体" w:eastAsia="宋体" w:cs="宋体" w:hAnsi="宋体" w:hint="eastAsia"/>
          <w:b/>
          <w:bCs/>
          <w:sz w:val="44"/>
          <w:szCs w:val="44"/>
        </w:rPr>
        <w:t xml:space="preserve"> 年度“双随机、一公开”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44"/>
          <w:szCs w:val="44"/>
          <w:lang w:val="en-US" w:eastAsia="zh-CN"/>
        </w:rPr>
      </w:pPr>
      <w:r>
        <w:rPr>
          <w:rFonts w:ascii="宋体" w:eastAsia="宋体" w:cs="宋体" w:hAnsi="宋体" w:hint="eastAsia"/>
          <w:b/>
          <w:bCs/>
          <w:sz w:val="44"/>
          <w:szCs w:val="44"/>
          <w:lang w:val="en-US" w:eastAsia="zh-CN"/>
        </w:rPr>
        <w:t>随机抽查事项清单</w:t>
      </w:r>
      <w:r>
        <w:rPr>
          <w:rFonts w:ascii="宋体" w:eastAsia="宋体" w:cs="宋体" w:hAnsi="宋体" w:hint="eastAsia"/>
          <w:b/>
          <w:bCs/>
          <w:sz w:val="44"/>
          <w:szCs w:val="44"/>
        </w:rPr>
        <w:t>》</w:t>
      </w:r>
      <w:r>
        <w:rPr>
          <w:rFonts w:ascii="宋体" w:eastAsia="宋体" w:cs="宋体" w:hAnsi="宋体" w:hint="eastAsia"/>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宋体" w:eastAsia="宋体" w:cs="宋体" w:hAnsi="宋体" w:hint="eastAsia"/>
          <w:b/>
          <w:bCs/>
          <w:sz w:val="44"/>
          <w:szCs w:val="44"/>
          <w:lang w:val="en-US" w:eastAsia="zh-CN"/>
        </w:rPr>
      </w:pPr>
    </w:p>
    <w:p>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0"/>
        <w:jc w:val="both"/>
        <w:textAlignment w:val="auto"/>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各股室：</w:t>
      </w:r>
    </w:p>
    <w:p>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Chars="200" w:firstLine="640"/>
        <w:jc w:val="both"/>
        <w:textAlignment w:val="auto"/>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现将曲阳县自然资源和规划局随机抽查事项清单（2023年版）印发给你们，请各股室成员结合实际情况，在开展各自的随机抽查工作中贯彻落实，做到抽查事项全覆盖。</w:t>
      </w:r>
    </w:p>
    <w:p>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0"/>
        <w:jc w:val="both"/>
        <w:textAlignment w:val="auto"/>
        <w:rPr>
          <w:rFonts w:ascii="仿宋" w:eastAsia="仿宋" w:cs="仿宋" w:hAnsi="仿宋" w:hint="eastAsia"/>
          <w:b w:val="0"/>
          <w:bCs w:val="0"/>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Chars="200" w:firstLine="640"/>
        <w:jc w:val="both"/>
        <w:textAlignment w:val="auto"/>
        <w:rPr>
          <w:lang w:val="en-US" w:eastAsia="zh-CN"/>
        </w:rPr>
      </w:pPr>
      <w:r>
        <w:rPr>
          <w:rFonts w:ascii="仿宋" w:eastAsia="仿宋" w:cs="仿宋" w:hAnsi="仿宋" w:hint="eastAsia"/>
          <w:b w:val="0"/>
          <w:bCs w:val="0"/>
          <w:sz w:val="32"/>
          <w:szCs w:val="32"/>
          <w:lang w:val="en-US" w:eastAsia="zh-CN"/>
        </w:rPr>
        <w:t>附件：曲阳县自然资源和规划局2023年度双随机抽查事项清单</w:t>
      </w:r>
    </w:p>
    <w:p>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0"/>
        <w:jc w:val="left"/>
        <w:textAlignment w:val="auto"/>
        <w:rPr>
          <w:rFonts w:ascii="仿宋" w:eastAsia="仿宋" w:cs="仿宋" w:hAnsi="仿宋"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right"/>
        <w:textAlignment w:val="auto"/>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曲阳县自然资源和规划局</w:t>
      </w:r>
    </w:p>
    <w:p>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0"/>
        <w:jc w:val="right"/>
        <w:textAlignment w:val="auto"/>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 xml:space="preserve">                              2023年2月16日</w:t>
      </w:r>
    </w:p>
    <w:p>
      <w:pPr>
        <w:pStyle w:val="17"/>
        <w:rPr>
          <w:rFonts w:ascii="仿宋" w:eastAsia="仿宋" w:cs="仿宋" w:hAnsi="仿宋" w:hint="eastAsia"/>
          <w:b w:val="0"/>
          <w:bCs w:val="0"/>
          <w:sz w:val="32"/>
          <w:szCs w:val="32"/>
          <w:lang w:val="en-US" w:eastAsia="zh-CN"/>
        </w:rPr>
      </w:pPr>
    </w:p>
    <w:p>
      <w:pPr>
        <w:pStyle w:val="17"/>
        <w:rPr>
          <w:rFonts w:ascii="仿宋" w:eastAsia="仿宋" w:cs="仿宋" w:hAnsi="仿宋"/>
          <w:b w:val="0"/>
          <w:bCs w:val="0"/>
          <w:sz w:val="32"/>
          <w:szCs w:val="32"/>
          <w:lang w:val="en-US" w:eastAsia="zh-CN"/>
        </w:rPr>
        <w:sectPr>
          <w:footerReference w:type="default" r:id="rId2"/>
          <w:pgSz w:w="11906" w:h="16838"/>
          <w:pgMar w:top="1440" w:right="1633" w:bottom="1440" w:left="1803" w:header="851" w:footer="992" w:gutter="0"/>
          <w:cols w:num="1" w:space="0"/>
          <w:rtlGutter/>
          <w:docGrid w:type="lines" w:linePitch="312" w:charSpace="0"/>
        </w:sectPr>
      </w:pPr>
    </w:p>
    <w:tbl>
      <w:tblPr>
        <w:jc w:val="left"/>
        <w:tblInd w:w="93" w:type="dxa"/>
        <w:tblW w:w="16383"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96"/>
        <w:gridCol w:w="1854"/>
        <w:gridCol w:w="1590"/>
        <w:gridCol w:w="1176"/>
        <w:gridCol w:w="786"/>
        <w:gridCol w:w="1176"/>
        <w:gridCol w:w="1176"/>
        <w:gridCol w:w="4113"/>
        <w:gridCol w:w="1680"/>
        <w:gridCol w:w="2136"/>
      </w:tblGrid>
      <w:tr>
        <w:trPr>
          <w:trHeight w:val="375"/>
          <w:gridAfter w:val="1"/>
          <w:wAfter w:w="2136" w:type="dxa"/>
        </w:trPr>
        <w:tc>
          <w:tcPr>
            <w:tcW w:w="255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hAnsi="宋体"/>
                <w:i w:val="0"/>
                <w:iCs w:val="0"/>
                <w:color w:val="000000"/>
                <w:sz w:val="28"/>
                <w:szCs w:val="28"/>
                <w:u w:val="none"/>
              </w:rPr>
            </w:pPr>
            <w:r>
              <w:rPr>
                <w:rFonts w:ascii="黑体" w:eastAsia="黑体" w:cs="黑体" w:hAnsi="宋体" w:hint="eastAsia"/>
                <w:i w:val="0"/>
                <w:iCs w:val="0"/>
                <w:color w:val="000000"/>
                <w:kern w:val="0"/>
                <w:sz w:val="28"/>
                <w:szCs w:val="28"/>
                <w:u w:val="none"/>
                <w:lang w:val="en-US" w:eastAsia="zh-CN"/>
              </w:rPr>
              <w:t>附件</w:t>
            </w:r>
          </w:p>
        </w:tc>
        <w:tc>
          <w:tcPr>
            <w:tcW w:w="1590" w:type="dxa"/>
            <w:tcBorders>
              <w:top w:val="nil"/>
              <w:left w:val="nil"/>
              <w:bottom w:val="nil"/>
              <w:right w:val="nil"/>
            </w:tcBorders>
            <w:shd w:val="clear" w:color="auto" w:fill="auto"/>
            <w:noWrap/>
            <w:vAlign w:val="center"/>
          </w:tcPr>
          <w:p>
            <w:pPr>
              <w:ind w:leftChars="-1495" w:left="-3136" w:hanging="3"/>
              <w:jc w:val="center"/>
              <w:rPr>
                <w:rFonts w:ascii="宋体" w:eastAsia="宋体" w:cs="宋体" w:hAnsi="宋体" w:hint="eastAsia"/>
                <w:i w:val="0"/>
                <w:iCs w:val="0"/>
                <w:color w:val="000000"/>
                <w:sz w:val="22"/>
                <w:szCs w:val="22"/>
                <w:u w:val="none"/>
              </w:rPr>
            </w:pPr>
          </w:p>
        </w:tc>
        <w:tc>
          <w:tcPr>
            <w:tcW w:w="1176"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786"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1176"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1176"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4113"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168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644"/>
        </w:trPr>
        <w:tc>
          <w:tcPr>
            <w:tcW w:w="16383" w:type="dxa"/>
            <w:gridSpan w:val="10"/>
            <w:tcBorders>
              <w:top w:val="nil"/>
              <w:left w:val="nil"/>
              <w:bottom w:val="single" w:sz="4" w:space="0" w:color="000000"/>
              <w:right w:val="nil"/>
            </w:tcBorders>
            <w:shd w:val="clear" w:color="auto" w:fill="auto"/>
            <w:noWrap/>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0"/>
                <w:szCs w:val="40"/>
                <w:u w:val="none"/>
              </w:rPr>
            </w:pPr>
            <w:r>
              <w:rPr>
                <w:rFonts w:ascii="方正小标宋简体" w:eastAsia="方正小标宋简体" w:cs="方正小标宋简体" w:hAnsi="方正小标宋简体"/>
                <w:i w:val="0"/>
                <w:iCs w:val="0"/>
                <w:color w:val="000000"/>
                <w:kern w:val="0"/>
                <w:sz w:val="40"/>
                <w:szCs w:val="40"/>
                <w:u w:val="none"/>
                <w:lang w:val="en-US" w:eastAsia="zh-CN"/>
              </w:rPr>
              <w:t>曲阳县自然资源和规划局</w:t>
            </w:r>
            <w:r>
              <w:rPr>
                <w:rFonts w:ascii="方正小标宋简体" w:eastAsia="方正小标宋简体" w:cs="方正小标宋简体" w:hAnsi="方正小标宋简体" w:hint="eastAsia"/>
                <w:i w:val="0"/>
                <w:iCs w:val="0"/>
                <w:color w:val="000000"/>
                <w:kern w:val="0"/>
                <w:sz w:val="40"/>
                <w:szCs w:val="40"/>
                <w:u w:val="none"/>
                <w:lang w:val="en-US" w:eastAsia="zh-CN"/>
              </w:rPr>
              <w:t>2023年度</w:t>
            </w:r>
            <w:r>
              <w:rPr>
                <w:rFonts w:ascii="方正小标宋简体" w:eastAsia="方正小标宋简体" w:cs="方正小标宋简体" w:hAnsi="方正小标宋简体"/>
                <w:i w:val="0"/>
                <w:iCs w:val="0"/>
                <w:color w:val="000000"/>
                <w:kern w:val="0"/>
                <w:sz w:val="40"/>
                <w:szCs w:val="40"/>
                <w:u w:val="none"/>
                <w:lang w:val="en-US" w:eastAsia="zh-CN"/>
              </w:rPr>
              <w:t>随机抽查事项清单</w:t>
            </w:r>
          </w:p>
        </w:tc>
      </w:tr>
      <w:tr>
        <w:trPr>
          <w:trHeight w:val="285"/>
          <w:gridAfter w:val="1"/>
          <w:wAfter w:w="2136" w:type="dxa"/>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序号</w:t>
            </w:r>
          </w:p>
        </w:tc>
        <w:tc>
          <w:tcPr>
            <w:tcW w:w="34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抽查项目</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检查对象</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事项类别</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检查方式</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检查主体</w:t>
            </w:r>
          </w:p>
        </w:tc>
        <w:tc>
          <w:tcPr>
            <w:tcW w:w="41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检查内容</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检查依据</w:t>
            </w:r>
          </w:p>
        </w:tc>
      </w:tr>
      <w:tr>
        <w:trPr>
          <w:trHeight w:val="285"/>
          <w:gridAfter w:val="1"/>
          <w:wAfter w:w="2136" w:type="dxa"/>
        </w:trPr>
        <w:tc>
          <w:tcPr>
            <w:tcW w:w="6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抽查类别</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黑体" w:eastAsia="黑体" w:cs="黑体" w:hAnsi="宋体" w:hint="eastAsia"/>
                <w:i w:val="0"/>
                <w:iCs w:val="0"/>
                <w:color w:val="000000"/>
                <w:sz w:val="24"/>
                <w:szCs w:val="24"/>
                <w:u w:val="none"/>
              </w:rPr>
            </w:pPr>
            <w:r>
              <w:rPr>
                <w:rFonts w:ascii="黑体" w:eastAsia="黑体" w:cs="黑体" w:hAnsi="宋体" w:hint="eastAsia"/>
                <w:i w:val="0"/>
                <w:iCs w:val="0"/>
                <w:color w:val="000000"/>
                <w:kern w:val="0"/>
                <w:sz w:val="24"/>
                <w:szCs w:val="24"/>
                <w:u w:val="none"/>
                <w:lang w:val="en-US" w:eastAsia="zh-CN"/>
              </w:rPr>
              <w:t>抽查事项</w:t>
            </w: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5060"/>
          <w:gridAfter w:val="1"/>
          <w:wAfter w:w="2136" w:type="dxa"/>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矿业权信息公示抽查</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矿业权人公示信息的基本信息、履行义务情况</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全县</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一般检查事项</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实地检查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2"/>
                <w:szCs w:val="22"/>
                <w:u w:val="none"/>
              </w:rPr>
            </w:pPr>
            <w:r>
              <w:rPr>
                <w:rFonts w:ascii="仿宋" w:eastAsia="仿宋" w:cs="仿宋" w:hAnsi="仿宋" w:hint="eastAsia"/>
                <w:i w:val="0"/>
                <w:iCs w:val="0"/>
                <w:color w:val="000000"/>
                <w:kern w:val="0"/>
                <w:sz w:val="22"/>
                <w:szCs w:val="22"/>
                <w:u w:val="none"/>
                <w:lang w:val="en-US" w:eastAsia="zh-CN"/>
              </w:rPr>
              <w:t>县级以上自然资源行政主管部门</w:t>
            </w:r>
          </w:p>
        </w:tc>
        <w:tc>
          <w:tcPr>
            <w:tcW w:w="41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探矿权基本信息：包括勘查许可证号、探矿权人名称、探矿权人地址、勘查项目名称及地理位置、勘查面积、有效期限、勘查单位名称、发证机关、发证时间和勘查活动依据的勘查实施方案等；探矿权人履行义务信息；包括实际勘查矿种、年度勘查投入情况、探矿权使用费和探矿权价款缴纳情况等。采矿权基本信息：包括采矿许可证号、采矿权人名称、矿山名称及地址、经济类型、开采矿种、开采方式、生产规模、矿区面积、有效期限、发证机关、发证时间和开采活动依据的矿产资源开发利用方案等；采矿权人履行义务信息：包括依法依规开发利用矿产资源情况和矿山储量年报、矿产开发利用统计报送情况，矿产资源补偿费、采矿权使用费、采矿权价款、矿山环境治理恢复保证金和土地复垦费等费用缴纳情况和矿山地质环境保护与治理恢复方案执行情况、土地复垦方案执行情况等。</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ind w:left="0" w:firstLine="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《国土资源部关于印发&lt;矿业权人勘查开采信息公示办法（试行）&gt;的通知》第十四条。</w:t>
            </w:r>
          </w:p>
        </w:tc>
      </w:tr>
      <w:tr>
        <w:trPr>
          <w:trHeight w:val="1940"/>
          <w:gridAfter w:val="1"/>
          <w:wAfter w:w="2136" w:type="dxa"/>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2</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测绘行业监督检查</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检查资料、设备及安全生产检查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全城各书店及售书点</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一般检查事项</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实地检查</w:t>
              <w:br/>
              <w:t>书面检查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2"/>
                <w:szCs w:val="22"/>
                <w:u w:val="none"/>
              </w:rPr>
            </w:pPr>
            <w:r>
              <w:rPr>
                <w:rFonts w:ascii="仿宋" w:eastAsia="仿宋" w:cs="仿宋" w:hAnsi="仿宋" w:hint="eastAsia"/>
                <w:i w:val="0"/>
                <w:iCs w:val="0"/>
                <w:color w:val="000000"/>
                <w:kern w:val="0"/>
                <w:sz w:val="22"/>
                <w:szCs w:val="22"/>
                <w:u w:val="none"/>
                <w:lang w:val="en-US" w:eastAsia="zh-CN"/>
              </w:rPr>
              <w:t>县级以上自然资源行政主管部门</w:t>
            </w:r>
          </w:p>
        </w:tc>
        <w:tc>
          <w:tcPr>
            <w:tcW w:w="41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测绘资质巡查；测绘项目备案登记；测绘航空摄影活动；相对独立平面坐标系统；外国的组织或个人来华测绘；测绘地理信息行业信用信息；测绘行业安全生产；卫星定位导航基准站建设；注册测绘师制度的实施；测绘市场的监督。</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《中华人民共和国测绘法》第四条、第四十九条。</w:t>
            </w:r>
          </w:p>
        </w:tc>
      </w:tr>
      <w:tr>
        <w:trPr>
          <w:trHeight w:val="4180"/>
          <w:gridAfter w:val="1"/>
          <w:wAfter w:w="2136" w:type="dxa"/>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3</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地图市场监督检查</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纸质地图产品监管、互联网电子地图产品监管</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一般检查事项</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一般检查事项</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实地检查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2"/>
                <w:szCs w:val="22"/>
                <w:u w:val="none"/>
              </w:rPr>
            </w:pPr>
            <w:r>
              <w:rPr>
                <w:rFonts w:ascii="仿宋" w:eastAsia="仿宋" w:cs="仿宋" w:hAnsi="仿宋" w:hint="eastAsia"/>
                <w:i w:val="0"/>
                <w:iCs w:val="0"/>
                <w:color w:val="000000"/>
                <w:kern w:val="0"/>
                <w:sz w:val="22"/>
                <w:szCs w:val="22"/>
                <w:u w:val="none"/>
                <w:lang w:val="en-US" w:eastAsia="zh-CN"/>
              </w:rPr>
              <w:t>县级以上自然资源行政主管部门</w:t>
            </w:r>
          </w:p>
        </w:tc>
        <w:tc>
          <w:tcPr>
            <w:tcW w:w="41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核查已向社会公开的地图，是否未按照审核要求修改即向社会公开；是否弄虚作假、伪造申请材料骗取地图审核批准文件；是否伪造、冒用地图审核批准文件和审图号；核查已向社会公开的地图，是否未在地图的适当位置显著标注审图号；核查已向社会公开的地图，是否未按照有关规定送交样本，进行备案。互联网地图数据安全管理制度执行情况；互联网地图数据安全保障措施落实情况；互联网地图服务单位是否使用未经依法审核批准的地图；是否未对互联网地图新增内容进行核</w:t>
            </w:r>
            <w:bookmarkStart w:id="0" w:name="_GoBack"/>
            <w:bookmarkEnd w:id="0"/>
            <w:r>
              <w:rPr>
                <w:rFonts w:ascii="仿宋" w:eastAsia="仿宋" w:cs="仿宋" w:hAnsi="仿宋" w:hint="eastAsia"/>
                <w:i w:val="0"/>
                <w:iCs w:val="0"/>
                <w:color w:val="000000"/>
                <w:kern w:val="0"/>
                <w:sz w:val="20"/>
                <w:szCs w:val="20"/>
                <w:u w:val="none"/>
                <w:lang w:val="en-US" w:eastAsia="zh-CN"/>
              </w:rPr>
              <w:t>查校对。</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《地图管理条例》第四条、第三十二条、第三十四条、第三十八条、第五十一条、第五十二条、第五十三条。</w:t>
            </w:r>
          </w:p>
        </w:tc>
      </w:tr>
      <w:tr>
        <w:trPr>
          <w:trHeight w:val="3660"/>
          <w:gridAfter w:val="1"/>
          <w:wAfter w:w="2136" w:type="dxa"/>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4</w:t>
            </w:r>
          </w:p>
        </w:tc>
        <w:tc>
          <w:tcPr>
            <w:tcW w:w="1854" w:type="dxa"/>
            <w:tcBorders>
              <w:top w:val="nil"/>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涉密测绘成果检查</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测绘成果保密及使用档案检查</w:t>
            </w:r>
          </w:p>
        </w:tc>
        <w:tc>
          <w:tcPr>
            <w:tcW w:w="1176"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重点检</w:t>
              <w:br/>
              <w:t>查事项</w:t>
            </w:r>
          </w:p>
        </w:tc>
        <w:tc>
          <w:tcPr>
            <w:tcW w:w="786" w:type="dxa"/>
            <w:tcBorders>
              <w:top w:val="nil"/>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重点检查事项</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实地检查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2"/>
                <w:szCs w:val="22"/>
                <w:u w:val="none"/>
              </w:rPr>
            </w:pPr>
            <w:r>
              <w:rPr>
                <w:rFonts w:ascii="仿宋" w:eastAsia="仿宋" w:cs="仿宋" w:hAnsi="仿宋" w:hint="eastAsia"/>
                <w:i w:val="0"/>
                <w:iCs w:val="0"/>
                <w:color w:val="000000"/>
                <w:kern w:val="0"/>
                <w:sz w:val="22"/>
                <w:szCs w:val="22"/>
                <w:u w:val="none"/>
                <w:lang w:val="en-US" w:eastAsia="zh-CN"/>
              </w:rPr>
              <w:t>县级以上自然资源行政主管部门</w:t>
            </w:r>
          </w:p>
        </w:tc>
        <w:tc>
          <w:tcPr>
            <w:tcW w:w="4113"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是否有未按照测绘成果资料的保管制度管理测绘成果资料，造成测绘成果资料损毁、散失的；是否有擅自转让汇交的测绘成果资料的；是否有未依法向测绘成果的使用人提供测绘成果资料的；对基础测绘成果使用情况的监督检查；涉密地理信息成果生产、保管、复制、转借、销毁等重点环节管理情况；涉密地理信息成果电子数据的存储、传输和使用情况；是否违反保密规定加工、处理和利用涉密成果，存在失泄密隐患情况；涉密地理信息成果生产、使用、管理人员保密教育培训及涉密人员持证上岗情况。</w:t>
            </w:r>
          </w:p>
        </w:tc>
        <w:tc>
          <w:tcPr>
            <w:tcW w:w="1680"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《中华人民共和国保守国家秘密法》第三十五条、第三十六条；《中华人民共和国测绘成果管理条例》第三条、第二十八条。</w:t>
            </w:r>
          </w:p>
        </w:tc>
      </w:tr>
      <w:tr>
        <w:trPr>
          <w:trHeight w:val="1600"/>
          <w:gridAfter w:val="1"/>
          <w:wAfter w:w="2136" w:type="dxa"/>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5</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测绘成果汇交</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测绘成果资料检查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 xml:space="preserve">一般检查事项 </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 xml:space="preserve">一般检查事项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实地检查</w:t>
              <w:br/>
              <w:t>书面检查</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2"/>
                <w:szCs w:val="22"/>
                <w:u w:val="none"/>
              </w:rPr>
            </w:pPr>
            <w:r>
              <w:rPr>
                <w:rFonts w:ascii="仿宋" w:eastAsia="仿宋" w:cs="仿宋" w:hAnsi="仿宋" w:hint="eastAsia"/>
                <w:i w:val="0"/>
                <w:iCs w:val="0"/>
                <w:color w:val="000000"/>
                <w:kern w:val="0"/>
                <w:sz w:val="22"/>
                <w:szCs w:val="22"/>
                <w:u w:val="none"/>
                <w:lang w:val="en-US" w:eastAsia="zh-CN"/>
              </w:rPr>
              <w:t>县级以上自然资源行政主管部门</w:t>
            </w:r>
          </w:p>
        </w:tc>
        <w:tc>
          <w:tcPr>
            <w:tcW w:w="41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测绘成果是否按要求及时、规范汇交。</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sz w:val="20"/>
                <w:szCs w:val="20"/>
                <w:u w:val="none"/>
              </w:rPr>
            </w:pPr>
            <w:r>
              <w:rPr>
                <w:rFonts w:ascii="仿宋" w:eastAsia="仿宋" w:cs="仿宋" w:hAnsi="仿宋" w:hint="eastAsia"/>
                <w:i w:val="0"/>
                <w:iCs w:val="0"/>
                <w:color w:val="000000"/>
                <w:kern w:val="0"/>
                <w:sz w:val="20"/>
                <w:szCs w:val="20"/>
                <w:u w:val="none"/>
                <w:lang w:val="en-US" w:eastAsia="zh-CN"/>
              </w:rPr>
              <w:t>《中华人民共和国测绘法》第三十三条。</w:t>
            </w:r>
          </w:p>
        </w:tc>
      </w:tr>
    </w:tbl>
    <w:p>
      <w:pPr>
        <w:pStyle w:val="17"/>
        <w:rPr>
          <w:rFonts w:ascii="仿宋" w:eastAsia="仿宋" w:cs="仿宋" w:hAnsi="仿宋"/>
          <w:b w:val="0"/>
          <w:bCs w:val="0"/>
          <w:sz w:val="32"/>
          <w:szCs w:val="32"/>
          <w:lang w:val="en-US" w:eastAsia="zh-CN"/>
        </w:rPr>
      </w:pPr>
    </w:p>
    <w:sectPr>
      <w:pgSz w:w="16838" w:h="11906" w:orient="landscape"/>
      <w:pgMar w:top="1803" w:right="1440" w:bottom="1633" w:left="1440" w:header="851" w:footer="992" w:gutter="0"/>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altName w:val="宋体"/>
    <w:panose1 w:val="00000000000000000000"/>
    <w:charset w:val="00"/>
    <w:family w:val="auto"/>
    <w:pitch w:val="variable"/>
    <w:sig w:usb0="00000000" w:usb1="00000000" w:usb2="00000000" w:usb3="00000000" w:csb0="00000000" w:csb1="00000000"/>
  </w:font>
  <w:font w:name="Times New Roman">
    <w:panose1 w:val="02020603050405020304"/>
    <w:charset w:val="86"/>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Calibri">
    <w:panose1 w:val="020F05020202040A0204"/>
    <w:charset w:val="00"/>
    <w:family w:val="swiss"/>
    <w:pitch w:val="variable"/>
    <w:sig w:usb0="E00002FF" w:usb1="4000ACFF" w:usb2="00000001" w:usb3="00000000" w:csb0="2000019F" w:csb1="00000000"/>
  </w:font>
  <w:font w:name="楷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6198" cy="139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198" cy="139560"/>
                      </a:xfrm>
                      <a:prstGeom prst="rect"/>
                      <a:noFill/>
                      <a:ln w="6350" cmpd="sng" cap="flat">
                        <a:noFill/>
                        <a:prstDash val="solid"/>
                        <a:round/>
                      </a:ln>
                    </wps:spPr>
                    <wps:txbx id="2">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9999084pt;height:10.98899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DMyN2NkYzVjNTRlYTEwNjFiNzJkOWNjOTdlYjIxND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Default"/>
    <w:pPr>
      <w:widowControl w:val="0"/>
      <w:autoSpaceDE w:val="0"/>
      <w:autoSpaceDN w:val="0"/>
      <w:adjustRightInd w:val="0"/>
    </w:pPr>
    <w:rPr>
      <w:rFonts w:ascii="楷体" w:eastAsia="宋体" w:cs="楷体" w:hAnsi="楷体"/>
      <w:color w:val="000000"/>
      <w:sz w:val="24"/>
      <w:szCs w:val="24"/>
      <w:lang w:val="en-US" w:eastAsia="zh-CN" w:bidi="ar-SA"/>
    </w:rPr>
  </w:style>
  <w:style w:type="paragraph" w:styleId="16">
    <w:name w:val="Normal Indent"/>
    <w:basedOn w:val="0"/>
    <w:pPr>
      <w:widowControl w:val="0"/>
      <w:ind w:firstLineChars="200" w:firstLine="200"/>
      <w:jc w:val="both"/>
    </w:pPr>
    <w:rPr>
      <w:rFonts w:eastAsia="仿宋_GB2312"/>
      <w:kern w:val="2"/>
      <w:sz w:val="32"/>
      <w:szCs w:val="24"/>
      <w:lang w:val="en-US" w:eastAsia="zh-CN" w:bidi="ar-SA"/>
    </w:rPr>
  </w:style>
  <w:style w:type="paragraph" w:styleId="17">
    <w:name w:val="Body Text"/>
    <w:basedOn w:val="0"/>
    <w:rPr>
      <w:rFonts w:eastAsia="仿宋_GB2312"/>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itle"/>
    <w:basedOn w:val="0"/>
    <w:next w:val="0"/>
    <w:pPr>
      <w:spacing w:before="240" w:after="60"/>
      <w:jc w:val="center"/>
      <w:outlineLvl w:val="0"/>
    </w:pPr>
    <w:rPr>
      <w:rFonts w:ascii="Cambria" w:cs="Times New Roman" w:hAnsi="Cambria"/>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F95A419B-5F9F-4654-B773-9D5B0820D5D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15</TotalTime>
  <Application>Yozo_Office27021597764231179</Application>
  <Pages>4</Pages>
  <Words>0</Words>
  <Characters>1351</Characters>
  <Lines>0</Lines>
  <Paragraphs>23</Paragraphs>
  <CharactersWithSpaces>1802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2023-05-09T08:38:00Z</cp:lastPrinted>
  <dcterms:created xsi:type="dcterms:W3CDTF">2023-04-03T01:33:00Z</dcterms:created>
  <dcterms:modified xsi:type="dcterms:W3CDTF">2023-09-12T01:43:21Z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2052-11.8.2.10972</vt:lpwstr>
  </property>
  <property fmtid="{D5CDD505-2E9C-101B-9397-08002B2CF9AE}" pid="3" name="ICV">
    <vt:lpwstr>0DF3036B095744A4BA282E05F08D0C15</vt:lpwstr>
  </property>
</Properties>
</file>